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alphabetical listing below provides information on programs and opportunities for students to engage in during the summer.  Each link contains specific information on the program.</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580"/>
        <w:gridCol w:w="4590"/>
        <w:tblGridChange w:id="0">
          <w:tblGrid>
            <w:gridCol w:w="2190"/>
            <w:gridCol w:w="2580"/>
            <w:gridCol w:w="4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Website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Additional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Atlanta Community Food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hyperlink r:id="rId6">
              <w:r w:rsidDel="00000000" w:rsidR="00000000" w:rsidRPr="00000000">
                <w:rPr>
                  <w:color w:val="1155cc"/>
                  <w:u w:val="single"/>
                  <w:rtl w:val="0"/>
                </w:rPr>
                <w:t xml:space="preserve">ACFB Youth Programs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280" w:line="240" w:lineRule="auto"/>
              <w:rPr/>
            </w:pPr>
            <w:r w:rsidDel="00000000" w:rsidR="00000000" w:rsidRPr="00000000">
              <w:rPr>
                <w:rtl w:val="0"/>
              </w:rPr>
              <w:t xml:space="preserve">The Atlanta Community Food Bank is excited to offer multiple opportunities for students to get involved this summer!</w:t>
            </w:r>
          </w:p>
          <w:p w:rsidR="00000000" w:rsidDel="00000000" w:rsidP="00000000" w:rsidRDefault="00000000" w:rsidRPr="00000000" w14:paraId="000000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Camp Euclid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hyperlink r:id="rId7">
              <w:r w:rsidDel="00000000" w:rsidR="00000000" w:rsidRPr="00000000">
                <w:rPr>
                  <w:color w:val="1155cc"/>
                  <w:u w:val="single"/>
                  <w:rtl w:val="0"/>
                </w:rPr>
                <w:t xml:space="preserve">Program Information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20" w:before="140" w:line="240" w:lineRule="auto"/>
              <w:rPr/>
            </w:pPr>
            <w:r w:rsidDel="00000000" w:rsidR="00000000" w:rsidRPr="00000000">
              <w:rPr>
                <w:rtl w:val="0"/>
              </w:rPr>
              <w:t xml:space="preserve">A mathematical research program for youth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Children’s Healthcare of Atlanta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hyperlink r:id="rId8">
              <w:r w:rsidDel="00000000" w:rsidR="00000000" w:rsidRPr="00000000">
                <w:rPr>
                  <w:color w:val="1155cc"/>
                  <w:u w:val="single"/>
                  <w:rtl w:val="0"/>
                </w:rPr>
                <w:t xml:space="preserve">Volunteer Opportunities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280" w:line="240" w:lineRule="auto"/>
              <w:rPr/>
            </w:pPr>
            <w:r w:rsidDel="00000000" w:rsidR="00000000" w:rsidRPr="00000000">
              <w:rPr>
                <w:rtl w:val="0"/>
              </w:rPr>
              <w:t xml:space="preserve">Children's is a pediatric hospital and pediatric physician teaching site for Emory University School of Medicine and Morehouse School of Medicine. The summer VolunTEEN Program at Children's is available for high school students ages 15 to 18. Volunteering can be done at Children’s at Egelston, Hughes Spalding, or Scottish Rite. VolunTEENs are placed in areas throughout the hospital ranging from customer service.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Dekalb Worksource Georgia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hyperlink r:id="rId9">
              <w:r w:rsidDel="00000000" w:rsidR="00000000" w:rsidRPr="00000000">
                <w:rPr>
                  <w:color w:val="1155cc"/>
                  <w:u w:val="single"/>
                  <w:rtl w:val="0"/>
                </w:rPr>
                <w:t xml:space="preserve">Youth Services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280" w:line="240" w:lineRule="auto"/>
              <w:rPr/>
            </w:pPr>
            <w:r w:rsidDel="00000000" w:rsidR="00000000" w:rsidRPr="00000000">
              <w:rPr>
                <w:rtl w:val="0"/>
              </w:rPr>
              <w:t xml:space="preserve">The Workforce Innovation and Opportunity Act (WIOA) Youth Employment and Training Program provides a broad range of year-round services in order to serve low-income youth from the ages of 14-24 who encounter major obstacles to academic achievement and employment.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Emory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15 Summer Programs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Emory University offers a myriad of programs on their gorgeous campus in Atlanta, Georgia, available to 10th and 11th graders.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Georgia Tech Camps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hyperlink r:id="rId11">
              <w:r w:rsidDel="00000000" w:rsidR="00000000" w:rsidRPr="00000000">
                <w:rPr>
                  <w:color w:val="1155cc"/>
                  <w:u w:val="single"/>
                  <w:rtl w:val="0"/>
                </w:rPr>
                <w:t xml:space="preserve">Center of Education Integrating Science, Math &amp; Computing</w:t>
              </w:r>
            </w:hyperlink>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280" w:line="240" w:lineRule="auto"/>
              <w:rPr/>
            </w:pPr>
            <w:r w:rsidDel="00000000" w:rsidR="00000000" w:rsidRPr="00000000">
              <w:rPr>
                <w:rFonts w:ascii="Roboto" w:cs="Roboto" w:eastAsia="Roboto" w:hAnsi="Roboto"/>
                <w:color w:val="262626"/>
                <w:highlight w:val="white"/>
                <w:rtl w:val="0"/>
              </w:rPr>
              <w:t xml:space="preserve">Each week-long program is uniquely themed to provide a full summer of STEAM fun and learning for rising 4th through rising 12th grade students.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Internships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hyperlink r:id="rId12">
              <w:r w:rsidDel="00000000" w:rsidR="00000000" w:rsidRPr="00000000">
                <w:rPr>
                  <w:color w:val="1155cc"/>
                  <w:u w:val="single"/>
                  <w:rtl w:val="0"/>
                </w:rPr>
                <w:t xml:space="preserve">2020 Internships in Metro Atlanta Area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280" w:line="240" w:lineRule="auto"/>
              <w:rPr/>
            </w:pPr>
            <w:r w:rsidDel="00000000" w:rsidR="00000000" w:rsidRPr="00000000">
              <w:rPr>
                <w:rtl w:val="0"/>
              </w:rPr>
              <w:t xml:space="preserve">Over 300 listings of opporuntities for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Parent Magazine Summer Camp Listing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hyperlink r:id="rId13">
              <w:r w:rsidDel="00000000" w:rsidR="00000000" w:rsidRPr="00000000">
                <w:rPr>
                  <w:color w:val="1155cc"/>
                  <w:u w:val="single"/>
                  <w:rtl w:val="0"/>
                </w:rPr>
                <w:t xml:space="preserve">2020 Ultimate Summer Program Guide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20" w:before="140" w:line="240" w:lineRule="auto"/>
              <w:rPr/>
            </w:pPr>
            <w:r w:rsidDel="00000000" w:rsidR="00000000" w:rsidRPr="00000000">
              <w:rPr>
                <w:rtl w:val="0"/>
              </w:rPr>
              <w:t xml:space="preserve">Our extensive Georgia summer day camp guide for Metro Atlanta will point you in the right direction to find the best fit for your child.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Khan Academy</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Prep Factory</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ACT Prep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Prep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Summer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hyperlink r:id="rId17">
              <w:r w:rsidDel="00000000" w:rsidR="00000000" w:rsidRPr="00000000">
                <w:rPr>
                  <w:color w:val="1155cc"/>
                  <w:u w:val="single"/>
                  <w:rtl w:val="0"/>
                </w:rPr>
                <w:t xml:space="preserve">Indeed.com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Varies positions listed in the Metro Atlanta area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Upward 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Upward Bound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spacing w:before="280" w:line="240" w:lineRule="auto"/>
              <w:rPr/>
            </w:pPr>
            <w:r w:rsidDel="00000000" w:rsidR="00000000" w:rsidRPr="00000000">
              <w:rPr>
                <w:rtl w:val="0"/>
              </w:rPr>
              <w:t xml:space="preserve">Upward Bound program provides fundamental support to participants in their preparation for college entrance. The program also provides opportunities for participants to succeed in their pre-college performance and ultimately in their higher educational pursuits. Upward Bound serves high school students from low-income families or families in which neither parent holds a bachelor's degree. The goal of Upward Bound is to increase the rate at which participants complete secondary education and enroll in and graduate from institutions of a college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YMCA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Summer Camps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spacing w:after="220" w:before="140"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eismc.gatech.edu/ceismc-summer-peaks" TargetMode="External"/><Relationship Id="rId10" Type="http://schemas.openxmlformats.org/officeDocument/2006/relationships/hyperlink" Target="https://blog.collegevine.com/15-summer-programs-at-emory-university-for-high-schoolers/" TargetMode="External"/><Relationship Id="rId13" Type="http://schemas.openxmlformats.org/officeDocument/2006/relationships/hyperlink" Target="https://www.atlantaparent.com/summer-day-camps-listings-atlanta-georgia/" TargetMode="External"/><Relationship Id="rId12" Type="http://schemas.openxmlformats.org/officeDocument/2006/relationships/hyperlink" Target="https://www.internships.com/high-school/atlanta-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kalbcountyga.gov/worksource-dekalb/youth-services" TargetMode="External"/><Relationship Id="rId15" Type="http://schemas.openxmlformats.org/officeDocument/2006/relationships/hyperlink" Target="https://www.prepfactory.com/" TargetMode="External"/><Relationship Id="rId14" Type="http://schemas.openxmlformats.org/officeDocument/2006/relationships/hyperlink" Target="https://www.khanacademy.org/sat" TargetMode="External"/><Relationship Id="rId17" Type="http://schemas.openxmlformats.org/officeDocument/2006/relationships/hyperlink" Target="https://www.indeed.com/q-Youth-l-DeKalb-County,-GA-jobs.html" TargetMode="External"/><Relationship Id="rId16" Type="http://schemas.openxmlformats.org/officeDocument/2006/relationships/hyperlink" Target="http://www.act.org/content/act/en/products-and-services/the-act/test-preparation.html" TargetMode="External"/><Relationship Id="rId5" Type="http://schemas.openxmlformats.org/officeDocument/2006/relationships/styles" Target="styles.xml"/><Relationship Id="rId19" Type="http://schemas.openxmlformats.org/officeDocument/2006/relationships/hyperlink" Target="https://ymcaatlanta.org/summer-camp/" TargetMode="External"/><Relationship Id="rId6" Type="http://schemas.openxmlformats.org/officeDocument/2006/relationships/hyperlink" Target="https://www.acfb.org/youth-programs?mc_cid=035db32207&amp;mc_eid=61aaf93f33" TargetMode="External"/><Relationship Id="rId18" Type="http://schemas.openxmlformats.org/officeDocument/2006/relationships/hyperlink" Target="https://success.students.gsu.edu/upward-bound/" TargetMode="External"/><Relationship Id="rId7" Type="http://schemas.openxmlformats.org/officeDocument/2006/relationships/hyperlink" Target="http://euclidlab.org/programs/camp-euclid" TargetMode="External"/><Relationship Id="rId8" Type="http://schemas.openxmlformats.org/officeDocument/2006/relationships/hyperlink" Target="https://www.choa.org/donors-and-volunteers/volunte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